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5CEC" w:rsidRPr="00C63EDF" w:rsidP="00ED5CEC" w14:paraId="280CC486" w14:textId="77777777">
      <w:pPr>
        <w:jc w:val="center"/>
        <w:rPr>
          <w:rFonts w:cs="Times New Roman"/>
          <w:sz w:val="24"/>
          <w:szCs w:val="24"/>
        </w:rPr>
      </w:pPr>
    </w:p>
    <w:p w:rsidR="00ED5CEC" w:rsidRPr="00C63EDF" w:rsidP="00ED5CEC" w14:paraId="730E4688" w14:textId="77777777">
      <w:pPr>
        <w:jc w:val="center"/>
        <w:rPr>
          <w:rFonts w:cs="Times New Roman"/>
          <w:sz w:val="24"/>
          <w:szCs w:val="24"/>
        </w:rPr>
      </w:pPr>
    </w:p>
    <w:p w:rsidR="00ED5CEC" w:rsidRPr="00C63EDF" w:rsidP="00ED5CEC" w14:paraId="01266C89" w14:textId="77777777">
      <w:pPr>
        <w:jc w:val="center"/>
        <w:rPr>
          <w:rFonts w:cs="Times New Roman"/>
          <w:sz w:val="24"/>
          <w:szCs w:val="24"/>
        </w:rPr>
      </w:pPr>
    </w:p>
    <w:p w:rsidR="00ED5CEC" w:rsidRPr="00C63EDF" w:rsidP="00ED5CEC" w14:paraId="3B283C36" w14:textId="77777777">
      <w:pPr>
        <w:jc w:val="center"/>
        <w:rPr>
          <w:rFonts w:cs="Times New Roman"/>
          <w:sz w:val="24"/>
          <w:szCs w:val="24"/>
        </w:rPr>
      </w:pPr>
    </w:p>
    <w:p w:rsidR="00ED5CEC" w:rsidRPr="00C63EDF" w:rsidP="00ED5CEC" w14:paraId="76ED53FC" w14:textId="77777777">
      <w:pPr>
        <w:jc w:val="center"/>
        <w:rPr>
          <w:rFonts w:cs="Times New Roman"/>
          <w:sz w:val="24"/>
          <w:szCs w:val="24"/>
        </w:rPr>
      </w:pPr>
    </w:p>
    <w:p w:rsidR="00ED5CEC" w:rsidRPr="00C63EDF" w:rsidP="00ED5CEC" w14:paraId="08E49C9B" w14:textId="77777777">
      <w:pPr>
        <w:jc w:val="center"/>
        <w:rPr>
          <w:rFonts w:cs="Times New Roman"/>
          <w:sz w:val="24"/>
          <w:szCs w:val="24"/>
        </w:rPr>
      </w:pPr>
    </w:p>
    <w:p w:rsidR="00ED5CEC" w:rsidRPr="00C63EDF" w:rsidP="00ED5CEC" w14:paraId="719DB65F" w14:textId="77777777">
      <w:pPr>
        <w:jc w:val="center"/>
        <w:rPr>
          <w:rFonts w:cs="Times New Roman"/>
          <w:sz w:val="24"/>
          <w:szCs w:val="24"/>
        </w:rPr>
      </w:pPr>
    </w:p>
    <w:p w:rsidR="00ED5CEC" w:rsidRPr="00C63EDF" w:rsidP="00ED5CEC" w14:paraId="6C43DA5E" w14:textId="77777777">
      <w:pPr>
        <w:jc w:val="center"/>
        <w:rPr>
          <w:rFonts w:cs="Times New Roman"/>
          <w:sz w:val="24"/>
          <w:szCs w:val="24"/>
        </w:rPr>
      </w:pPr>
    </w:p>
    <w:p w:rsidR="000766B7" w:rsidRPr="00C63EDF" w:rsidP="00A01304" w14:paraId="32E025D8" w14:textId="3568394E">
      <w:pPr>
        <w:spacing w:line="480" w:lineRule="auto"/>
        <w:jc w:val="center"/>
        <w:rPr>
          <w:rFonts w:cs="Times New Roman"/>
          <w:sz w:val="24"/>
          <w:szCs w:val="24"/>
        </w:rPr>
      </w:pPr>
      <w:r w:rsidRPr="00C63EDF">
        <w:rPr>
          <w:rFonts w:cs="Times New Roman"/>
          <w:sz w:val="24"/>
          <w:szCs w:val="24"/>
        </w:rPr>
        <w:t xml:space="preserve">The </w:t>
      </w:r>
      <w:r w:rsidRPr="00C63EDF" w:rsidR="00ED5CEC">
        <w:rPr>
          <w:rFonts w:cs="Times New Roman"/>
          <w:sz w:val="24"/>
          <w:szCs w:val="24"/>
        </w:rPr>
        <w:t>Microbiota and Infectious Diseases.</w:t>
      </w:r>
    </w:p>
    <w:p w:rsidR="00ED5CEC" w:rsidRPr="00C63EDF" w:rsidP="00A01304" w14:paraId="6E03C653" w14:textId="776019C2">
      <w:pPr>
        <w:spacing w:line="480" w:lineRule="auto"/>
        <w:jc w:val="center"/>
        <w:rPr>
          <w:rFonts w:cs="Times New Roman"/>
          <w:sz w:val="24"/>
          <w:szCs w:val="24"/>
        </w:rPr>
      </w:pPr>
      <w:r w:rsidRPr="00C63EDF">
        <w:rPr>
          <w:rFonts w:cs="Times New Roman"/>
          <w:sz w:val="24"/>
          <w:szCs w:val="24"/>
        </w:rPr>
        <w:t>Student Name.</w:t>
      </w:r>
    </w:p>
    <w:p w:rsidR="00ED5CEC" w:rsidRPr="00C63EDF" w:rsidP="00A01304" w14:paraId="6DE25F0D" w14:textId="583BE257">
      <w:pPr>
        <w:spacing w:line="480" w:lineRule="auto"/>
        <w:jc w:val="center"/>
        <w:rPr>
          <w:rFonts w:cs="Times New Roman"/>
          <w:sz w:val="24"/>
          <w:szCs w:val="24"/>
        </w:rPr>
      </w:pPr>
      <w:r w:rsidRPr="00C63EDF">
        <w:rPr>
          <w:rFonts w:cs="Times New Roman"/>
          <w:sz w:val="24"/>
          <w:szCs w:val="24"/>
        </w:rPr>
        <w:t>Institution Affiliations.</w:t>
      </w:r>
    </w:p>
    <w:p w:rsidR="00ED5CEC" w:rsidRPr="00C63EDF" w:rsidP="00A01304" w14:paraId="1496791C" w14:textId="6749623F">
      <w:pPr>
        <w:spacing w:line="480" w:lineRule="auto"/>
        <w:jc w:val="center"/>
        <w:rPr>
          <w:rFonts w:cs="Times New Roman"/>
          <w:sz w:val="24"/>
          <w:szCs w:val="24"/>
        </w:rPr>
      </w:pPr>
      <w:r w:rsidRPr="00C63EDF">
        <w:rPr>
          <w:rFonts w:cs="Times New Roman"/>
          <w:sz w:val="24"/>
          <w:szCs w:val="24"/>
        </w:rPr>
        <w:t>Date.</w:t>
      </w:r>
      <w:r w:rsidRPr="00C63EDF">
        <w:rPr>
          <w:rFonts w:cs="Times New Roman"/>
          <w:sz w:val="24"/>
          <w:szCs w:val="24"/>
        </w:rPr>
        <w:br w:type="page"/>
      </w:r>
    </w:p>
    <w:p w:rsidR="00ED5CEC" w:rsidRPr="00C63EDF" w:rsidP="00C63EDF" w14:paraId="7950F487" w14:textId="77777777">
      <w:pPr>
        <w:spacing w:line="480" w:lineRule="auto"/>
        <w:ind w:firstLine="720"/>
        <w:jc w:val="both"/>
        <w:rPr>
          <w:rFonts w:cs="Times New Roman"/>
          <w:sz w:val="24"/>
          <w:szCs w:val="24"/>
        </w:rPr>
      </w:pPr>
    </w:p>
    <w:p w:rsidR="00191BA0" w:rsidRPr="00C63EDF" w:rsidP="00C63EDF" w14:paraId="3819DBD8" w14:textId="2CA17C71">
      <w:pPr>
        <w:spacing w:line="480" w:lineRule="auto"/>
        <w:ind w:firstLine="720"/>
        <w:jc w:val="both"/>
        <w:rPr>
          <w:rFonts w:cs="Times New Roman"/>
          <w:sz w:val="24"/>
          <w:szCs w:val="24"/>
        </w:rPr>
      </w:pPr>
      <w:r w:rsidRPr="00C63EDF">
        <w:rPr>
          <w:rFonts w:cs="Times New Roman"/>
          <w:sz w:val="24"/>
          <w:szCs w:val="24"/>
        </w:rPr>
        <w:t>I</w:t>
      </w:r>
      <w:r w:rsidRPr="00C63EDF" w:rsidR="00533D80">
        <w:rPr>
          <w:rFonts w:cs="Times New Roman"/>
          <w:sz w:val="24"/>
          <w:szCs w:val="24"/>
        </w:rPr>
        <w:t>nfectious diseases refer to diseases or disorders often caused by organisms. These organisms include viruses, fungi, bacteria, and parasites. The community of microorganism that causes infectious diseases is called microbiota</w:t>
      </w:r>
      <w:r w:rsidRPr="00C63EDF" w:rsidR="002A2264">
        <w:rPr>
          <w:rFonts w:cs="Times New Roman"/>
          <w:sz w:val="24"/>
          <w:szCs w:val="24"/>
        </w:rPr>
        <w:t xml:space="preserve">. </w:t>
      </w:r>
      <w:r w:rsidRPr="00C63EDF" w:rsidR="00533D80">
        <w:rPr>
          <w:rFonts w:cs="Times New Roman"/>
          <w:sz w:val="24"/>
          <w:szCs w:val="24"/>
        </w:rPr>
        <w:t xml:space="preserve">The creation of these communities by the microbiota is dependent on the availability of nutrients and in some cases, the lack </w:t>
      </w:r>
      <w:r w:rsidRPr="00C63EDF">
        <w:rPr>
          <w:rFonts w:cs="Times New Roman"/>
          <w:sz w:val="24"/>
          <w:szCs w:val="24"/>
        </w:rPr>
        <w:t>of environmental inhibitors that facilitate faster growth of the microbiota. Infectious</w:t>
      </w:r>
      <w:r w:rsidRPr="00C63EDF" w:rsidR="00533D80">
        <w:rPr>
          <w:rFonts w:cs="Times New Roman"/>
          <w:sz w:val="24"/>
          <w:szCs w:val="24"/>
        </w:rPr>
        <w:t xml:space="preserve"> diseases include influenza, HIV/AIDS, Giardiasis, and chickenpox. Infectious diseases can be spread directly or indirectly from one person to another through air, contact, or any other means. </w:t>
      </w:r>
      <w:r w:rsidRPr="00C63EDF">
        <w:rPr>
          <w:rFonts w:cs="Times New Roman"/>
          <w:sz w:val="24"/>
          <w:szCs w:val="24"/>
        </w:rPr>
        <w:t>the sole purpose of this review article by (Thomas</w:t>
      </w:r>
      <w:r w:rsidRPr="00C63EDF" w:rsidR="002A2264">
        <w:rPr>
          <w:rFonts w:cs="Times New Roman"/>
          <w:sz w:val="24"/>
          <w:szCs w:val="24"/>
        </w:rPr>
        <w:t xml:space="preserve"> et al</w:t>
      </w:r>
      <w:r w:rsidRPr="00C63EDF">
        <w:rPr>
          <w:rFonts w:cs="Times New Roman"/>
          <w:sz w:val="24"/>
          <w:szCs w:val="24"/>
        </w:rPr>
        <w:t>, 2019) was to understand the role of microbiota in infectious diseases</w:t>
      </w:r>
      <w:r w:rsidRPr="00C63EDF">
        <w:rPr>
          <w:rFonts w:cs="Times New Roman"/>
          <w:sz w:val="24"/>
          <w:szCs w:val="24"/>
        </w:rPr>
        <w:t>. This study aims to understand that microbiota plays a role in gut mucosal, colonization, and nutrient metabolism. 
</w:t>
      </w:r>
    </w:p>
    <w:p w:rsidR="00A07649" w:rsidRPr="00C63EDF" w:rsidP="00C63EDF" w14:paraId="2C9CC4FD" w14:textId="77777777">
      <w:pPr>
        <w:spacing w:line="480" w:lineRule="auto"/>
        <w:ind w:firstLine="720"/>
        <w:jc w:val="both"/>
        <w:rPr>
          <w:rFonts w:cs="Times New Roman"/>
          <w:sz w:val="24"/>
          <w:szCs w:val="24"/>
        </w:rPr>
      </w:pPr>
      <w:r w:rsidRPr="00C63EDF">
        <w:rPr>
          <w:rFonts w:cs="Times New Roman"/>
          <w:sz w:val="24"/>
          <w:szCs w:val="24"/>
        </w:rPr>
        <w:t xml:space="preserve">Firstly, microorganisms have a role in gut mucosal. Gut mucosal refers to </w:t>
      </w:r>
      <w:r w:rsidRPr="00C63EDF" w:rsidR="00E766F1">
        <w:rPr>
          <w:rFonts w:cs="Times New Roman"/>
          <w:sz w:val="24"/>
          <w:szCs w:val="24"/>
        </w:rPr>
        <w:t xml:space="preserve">a barrier within the intestines that acts as a barricade between the external physical surrounding and the immune system of a person.  Since infectious diseases consist of an interaction between the microbiota and the body of the host which is represented by the Mucosal gut, the </w:t>
      </w:r>
      <w:r w:rsidRPr="00C63EDF" w:rsidR="008757BB">
        <w:rPr>
          <w:rFonts w:cs="Times New Roman"/>
          <w:sz w:val="24"/>
          <w:szCs w:val="24"/>
        </w:rPr>
        <w:t xml:space="preserve">microbiota is responsible for the reproduction of antimicrobial peptides that disrupts the mucosal membrane. The antimicrobial peptides </w:t>
      </w:r>
      <w:r w:rsidRPr="00C63EDF">
        <w:rPr>
          <w:rFonts w:cs="Times New Roman"/>
          <w:sz w:val="24"/>
          <w:szCs w:val="24"/>
        </w:rPr>
        <w:t>attach</w:t>
      </w:r>
      <w:r w:rsidRPr="00C63EDF" w:rsidR="008757BB">
        <w:rPr>
          <w:rFonts w:cs="Times New Roman"/>
          <w:sz w:val="24"/>
          <w:szCs w:val="24"/>
        </w:rPr>
        <w:t xml:space="preserve"> itself to bacteria to kill negative bacteria or facilitate the growth of positive bacteria</w:t>
      </w:r>
      <w:r w:rsidRPr="00C63EDF">
        <w:rPr>
          <w:rFonts w:cs="Times New Roman"/>
          <w:sz w:val="24"/>
          <w:szCs w:val="24"/>
        </w:rPr>
        <w:t>, viruses, cancerous cells, or fungi. 
</w:t>
      </w:r>
    </w:p>
    <w:p w:rsidR="00DC3361" w:rsidRPr="00C63EDF" w:rsidP="00C63EDF" w14:paraId="4A1376C7" w14:textId="25656ECF">
      <w:pPr>
        <w:spacing w:line="480" w:lineRule="auto"/>
        <w:ind w:firstLine="720"/>
        <w:jc w:val="both"/>
        <w:rPr>
          <w:rFonts w:cs="Times New Roman"/>
          <w:sz w:val="24"/>
          <w:szCs w:val="24"/>
        </w:rPr>
      </w:pPr>
      <w:r w:rsidRPr="00C63EDF">
        <w:rPr>
          <w:rFonts w:cs="Times New Roman"/>
          <w:sz w:val="24"/>
          <w:szCs w:val="24"/>
        </w:rPr>
        <w:t xml:space="preserve">Moreover, colonization of the microorganisms depends on the availability of suitable external surroundings. </w:t>
      </w:r>
      <w:r w:rsidRPr="00C63EDF" w:rsidR="00757407">
        <w:rPr>
          <w:rFonts w:cs="Times New Roman"/>
          <w:sz w:val="24"/>
          <w:szCs w:val="24"/>
        </w:rPr>
        <w:t xml:space="preserve">Microorganisms that cause infectious diseases interrupt the day-to-day activities or triggering the host system to produce results that lead to symptoms of infectious diseases.  </w:t>
      </w:r>
      <w:r w:rsidRPr="00C63EDF">
        <w:rPr>
          <w:rFonts w:cs="Times New Roman"/>
          <w:sz w:val="24"/>
          <w:szCs w:val="24"/>
        </w:rPr>
        <w:t xml:space="preserve">Therefore, microbiota plays a role in preventing or reducing the creation of microbiota communities by triggering the defenses of the mucosal gut into creating complex chemical and biological barriers </w:t>
      </w:r>
      <w:r w:rsidRPr="00C63EDF">
        <w:rPr>
          <w:rFonts w:cs="Times New Roman"/>
          <w:sz w:val="24"/>
          <w:szCs w:val="24"/>
        </w:rPr>
        <w:t xml:space="preserve">that stop microorganisms from forming communities. That is, a certain composition of microbiota affects the vulnerability of an infectious </w:t>
      </w:r>
      <w:r w:rsidRPr="00C63EDF" w:rsidR="00F8660F">
        <w:rPr>
          <w:rFonts w:cs="Times New Roman"/>
          <w:sz w:val="24"/>
          <w:szCs w:val="24"/>
        </w:rPr>
        <w:t xml:space="preserve">disease leads to reducing acid production which in turn increases mediators that raise the amount of damage. This favors the microbiota incursion into the mucosal system of the host. According to </w:t>
      </w:r>
      <w:r w:rsidRPr="00C63EDF" w:rsidR="003E7E26">
        <w:rPr>
          <w:rFonts w:cs="Times New Roman"/>
          <w:sz w:val="24"/>
          <w:szCs w:val="24"/>
        </w:rPr>
        <w:t xml:space="preserve">this article by </w:t>
      </w:r>
      <w:r w:rsidRPr="00C63EDF" w:rsidR="00F8660F">
        <w:rPr>
          <w:rFonts w:cs="Times New Roman"/>
          <w:sz w:val="24"/>
          <w:szCs w:val="24"/>
        </w:rPr>
        <w:t>(Josie et al., 2013), utilization of probiotics, transplantation of microbiota, prebiotics can help in the prevention of intonation</w:t>
      </w:r>
      <w:r w:rsidRPr="00C63EDF" w:rsidR="00757407">
        <w:rPr>
          <w:rFonts w:cs="Times New Roman"/>
          <w:sz w:val="24"/>
          <w:szCs w:val="24"/>
        </w:rPr>
        <w:t xml:space="preserve"> of microorganisms so as prevent infectious diseases.</w:t>
      </w:r>
    </w:p>
    <w:p w:rsidR="00757407" w:rsidRPr="00C63EDF" w:rsidP="00C63EDF" w14:paraId="35F292C5" w14:textId="1864EAE7">
      <w:pPr>
        <w:spacing w:line="480" w:lineRule="auto"/>
        <w:ind w:firstLine="720"/>
        <w:jc w:val="both"/>
        <w:rPr>
          <w:rFonts w:cs="Times New Roman"/>
          <w:sz w:val="24"/>
          <w:szCs w:val="24"/>
        </w:rPr>
      </w:pPr>
      <w:r w:rsidRPr="00C63EDF">
        <w:rPr>
          <w:rFonts w:cs="Times New Roman"/>
          <w:sz w:val="24"/>
          <w:szCs w:val="24"/>
        </w:rPr>
        <w:t xml:space="preserve">In addition, </w:t>
      </w:r>
      <w:r w:rsidRPr="00C63EDF" w:rsidR="000F6C22">
        <w:rPr>
          <w:rFonts w:cs="Times New Roman"/>
          <w:sz w:val="24"/>
          <w:szCs w:val="24"/>
        </w:rPr>
        <w:t>the human gut is occupied by microbiota colonies that supplement the normal processes and activities of the human body, such as facilitating digestion through the production of enzymes in the liver. Therefore, the microbiota plays a role in determining the chemical and biological profiles of the host's digestive diet. A favorable profile of the digestion will lead to a strong digestive system while a bad profile impacts the health of the host leaving the host vulnerable to infectious diseases (Rowland et al, 201</w:t>
      </w:r>
      <w:r w:rsidRPr="00C63EDF" w:rsidR="00F400E9">
        <w:rPr>
          <w:rFonts w:cs="Times New Roman"/>
          <w:sz w:val="24"/>
          <w:szCs w:val="24"/>
        </w:rPr>
        <w:t>8</w:t>
      </w:r>
      <w:r w:rsidRPr="00C63EDF" w:rsidR="000F6C22">
        <w:rPr>
          <w:rFonts w:cs="Times New Roman"/>
          <w:sz w:val="24"/>
          <w:szCs w:val="24"/>
        </w:rPr>
        <w:t>). Therefore, the type of bacteria community determines the role it plays in the spread or prevention of infectious diseases.</w:t>
      </w:r>
      <w:r w:rsidRPr="00C63EDF" w:rsidR="004A6FB7">
        <w:rPr>
          <w:rFonts w:cs="Times New Roman"/>
          <w:sz w:val="24"/>
          <w:szCs w:val="24"/>
        </w:rPr>
        <w:t xml:space="preserve"> </w:t>
      </w:r>
    </w:p>
    <w:p w:rsidR="004A6FB7" w:rsidRPr="00C63EDF" w:rsidP="00C63EDF" w14:paraId="6C52E91B" w14:textId="4D1828D9">
      <w:pPr>
        <w:spacing w:line="480" w:lineRule="auto"/>
        <w:ind w:firstLine="720"/>
        <w:jc w:val="both"/>
        <w:rPr>
          <w:rFonts w:cs="Times New Roman"/>
          <w:sz w:val="24"/>
          <w:szCs w:val="24"/>
        </w:rPr>
      </w:pPr>
      <w:r w:rsidRPr="00C63EDF">
        <w:rPr>
          <w:rFonts w:cs="Times New Roman"/>
          <w:sz w:val="24"/>
          <w:szCs w:val="24"/>
        </w:rPr>
        <w:t xml:space="preserve">To determine the role of microbiota in infectious diseases, a dry lab environment was used to run simulations on the possible effects of different microbiotas. </w:t>
      </w:r>
      <w:r w:rsidRPr="00C63EDF">
        <w:rPr>
          <w:rFonts w:cs="Times New Roman"/>
          <w:sz w:val="24"/>
          <w:szCs w:val="24"/>
        </w:rPr>
        <w:t xml:space="preserve">This review article has been used in the current research to show the significance of microbiota and the role it plays in infectious diseases. For instance, different communities of microorganisms determine whether the immunity of the host is strengthened or weakened. </w:t>
      </w:r>
      <w:r w:rsidRPr="00C63EDF">
        <w:rPr>
          <w:rFonts w:cs="Times New Roman"/>
          <w:sz w:val="24"/>
          <w:szCs w:val="24"/>
        </w:rPr>
        <w:t>This study can be further researched to determine which microbiota prevents infectious diseases and which ones cause infectious diseases. This article was favorable because it is interesting in terms of finding out that some microorganisms can actually prevent the spread of infectious diseases.
</w:t>
      </w:r>
    </w:p>
    <w:p w:rsidR="00DB6195" w:rsidRPr="00C63EDF" w:rsidP="00C63EDF" w14:paraId="32E3F9DB" w14:textId="358943DA">
      <w:pPr>
        <w:spacing w:line="480" w:lineRule="auto"/>
        <w:ind w:firstLine="720"/>
        <w:jc w:val="both"/>
        <w:rPr>
          <w:rFonts w:cs="Times New Roman"/>
          <w:sz w:val="24"/>
          <w:szCs w:val="24"/>
        </w:rPr>
      </w:pPr>
      <w:r w:rsidRPr="00C63EDF">
        <w:rPr>
          <w:rFonts w:cs="Times New Roman"/>
          <w:sz w:val="24"/>
          <w:szCs w:val="24"/>
        </w:rPr>
        <w:t xml:space="preserve">In conclusion, infectious diseases involve a foreign organism inhabiting the body of the host and causing harm to it. These pathogens aim at feeding on the nutrients and supplements body </w:t>
      </w:r>
      <w:r w:rsidRPr="00C63EDF">
        <w:rPr>
          <w:rFonts w:cs="Times New Roman"/>
          <w:sz w:val="24"/>
          <w:szCs w:val="24"/>
        </w:rPr>
        <w:t xml:space="preserve">tissues. Therefore, the presence of the right kind microbiota can help improve the immunity of the host. In general, </w:t>
      </w:r>
      <w:r w:rsidRPr="00C63EDF" w:rsidR="00E8619C">
        <w:rPr>
          <w:rFonts w:cs="Times New Roman"/>
          <w:sz w:val="24"/>
          <w:szCs w:val="24"/>
        </w:rPr>
        <w:t>transfer therapy can be used frequently occurring infections and it can be administered directly or through capsule injection.</w:t>
      </w:r>
    </w:p>
    <w:p w:rsidR="00C63EDF" w:rsidRPr="00C63EDF" w:rsidP="00C63EDF" w14:paraId="4778C418" w14:textId="7F079B17">
      <w:pPr>
        <w:rPr>
          <w:rFonts w:cs="Times New Roman"/>
          <w:sz w:val="24"/>
          <w:szCs w:val="24"/>
        </w:rPr>
      </w:pPr>
      <w:r w:rsidRPr="00C63EDF">
        <w:rPr>
          <w:rFonts w:cs="Times New Roman"/>
          <w:sz w:val="24"/>
          <w:szCs w:val="24"/>
        </w:rPr>
        <w:br w:type="page"/>
      </w:r>
    </w:p>
    <w:p w:rsidR="002542CD" w:rsidRPr="00C63EDF" w14:paraId="0BC775B6" w14:textId="749F0D4C">
      <w:pPr>
        <w:rPr>
          <w:rFonts w:cs="Times New Roman"/>
          <w:sz w:val="24"/>
          <w:szCs w:val="24"/>
        </w:rPr>
      </w:pPr>
      <w:r w:rsidRPr="00C63EDF">
        <w:rPr>
          <w:rFonts w:cs="Times New Roman"/>
          <w:sz w:val="24"/>
          <w:szCs w:val="24"/>
        </w:rPr>
        <w:t>References.</w:t>
      </w:r>
    </w:p>
    <w:p w:rsidR="00C63EDF" w:rsidRPr="00C63EDF" w:rsidP="00C63EDF" w14:paraId="286D86C1" w14:textId="77777777">
      <w:pPr>
        <w:spacing w:line="480" w:lineRule="auto"/>
        <w:ind w:left="720" w:hanging="720"/>
        <w:jc w:val="both"/>
        <w:rPr>
          <w:rFonts w:cs="Times New Roman"/>
          <w:sz w:val="24"/>
          <w:szCs w:val="24"/>
        </w:rPr>
      </w:pPr>
      <w:r w:rsidRPr="00C63EDF">
        <w:rPr>
          <w:rFonts w:cs="Times New Roman"/>
          <w:color w:val="222222"/>
          <w:sz w:val="24"/>
          <w:szCs w:val="24"/>
          <w:shd w:val="clear" w:color="auto" w:fill="FFFFFF"/>
        </w:rPr>
        <w:t xml:space="preserve">Althaus, T., </w:t>
      </w:r>
      <w:r w:rsidRPr="00C63EDF">
        <w:rPr>
          <w:rFonts w:cs="Times New Roman"/>
          <w:color w:val="222222"/>
          <w:sz w:val="24"/>
          <w:szCs w:val="24"/>
          <w:shd w:val="clear" w:color="auto" w:fill="FFFFFF"/>
        </w:rPr>
        <w:t>Lubell</w:t>
      </w:r>
      <w:r w:rsidRPr="00C63EDF">
        <w:rPr>
          <w:rFonts w:cs="Times New Roman"/>
          <w:color w:val="222222"/>
          <w:sz w:val="24"/>
          <w:szCs w:val="24"/>
          <w:shd w:val="clear" w:color="auto" w:fill="FFFFFF"/>
        </w:rPr>
        <w:t xml:space="preserve">, Y., </w:t>
      </w:r>
      <w:r w:rsidRPr="00C63EDF">
        <w:rPr>
          <w:rFonts w:cs="Times New Roman"/>
          <w:color w:val="222222"/>
          <w:sz w:val="24"/>
          <w:szCs w:val="24"/>
          <w:shd w:val="clear" w:color="auto" w:fill="FFFFFF"/>
        </w:rPr>
        <w:t>Maro</w:t>
      </w:r>
      <w:r w:rsidRPr="00C63EDF">
        <w:rPr>
          <w:rFonts w:cs="Times New Roman"/>
          <w:color w:val="222222"/>
          <w:sz w:val="24"/>
          <w:szCs w:val="24"/>
          <w:shd w:val="clear" w:color="auto" w:fill="FFFFFF"/>
        </w:rPr>
        <w:t xml:space="preserve">, V. P., </w:t>
      </w:r>
      <w:r w:rsidRPr="00C63EDF">
        <w:rPr>
          <w:rFonts w:cs="Times New Roman"/>
          <w:color w:val="222222"/>
          <w:sz w:val="24"/>
          <w:szCs w:val="24"/>
          <w:shd w:val="clear" w:color="auto" w:fill="FFFFFF"/>
        </w:rPr>
        <w:t>Mmbaga</w:t>
      </w:r>
      <w:r w:rsidRPr="00C63EDF">
        <w:rPr>
          <w:rFonts w:cs="Times New Roman"/>
          <w:color w:val="222222"/>
          <w:sz w:val="24"/>
          <w:szCs w:val="24"/>
          <w:shd w:val="clear" w:color="auto" w:fill="FFFFFF"/>
        </w:rPr>
        <w:t xml:space="preserve">, B. T., </w:t>
      </w:r>
      <w:r w:rsidRPr="00C63EDF">
        <w:rPr>
          <w:rFonts w:cs="Times New Roman"/>
          <w:color w:val="222222"/>
          <w:sz w:val="24"/>
          <w:szCs w:val="24"/>
          <w:shd w:val="clear" w:color="auto" w:fill="FFFFFF"/>
        </w:rPr>
        <w:t>Lwezaula</w:t>
      </w:r>
      <w:r w:rsidRPr="00C63EDF">
        <w:rPr>
          <w:rFonts w:cs="Times New Roman"/>
          <w:color w:val="222222"/>
          <w:sz w:val="24"/>
          <w:szCs w:val="24"/>
          <w:shd w:val="clear" w:color="auto" w:fill="FFFFFF"/>
        </w:rPr>
        <w:t xml:space="preserve">, B., </w:t>
      </w:r>
      <w:r w:rsidRPr="00C63EDF">
        <w:rPr>
          <w:rFonts w:cs="Times New Roman"/>
          <w:color w:val="222222"/>
          <w:sz w:val="24"/>
          <w:szCs w:val="24"/>
          <w:shd w:val="clear" w:color="auto" w:fill="FFFFFF"/>
        </w:rPr>
        <w:t>Halleux</w:t>
      </w:r>
      <w:r w:rsidRPr="00C63EDF">
        <w:rPr>
          <w:rFonts w:cs="Times New Roman"/>
          <w:color w:val="222222"/>
          <w:sz w:val="24"/>
          <w:szCs w:val="24"/>
          <w:shd w:val="clear" w:color="auto" w:fill="FFFFFF"/>
        </w:rPr>
        <w:t>, C., ... &amp; Nicholson, W. L. (2020). Sensitivity of C‐reactive protein for the identification of patients with laboratory‐confirmed bacterial infections in northern Tanzania. </w:t>
      </w:r>
      <w:r w:rsidRPr="00C63EDF">
        <w:rPr>
          <w:rFonts w:cs="Times New Roman"/>
          <w:i/>
          <w:iCs/>
          <w:color w:val="222222"/>
          <w:sz w:val="24"/>
          <w:szCs w:val="24"/>
          <w:shd w:val="clear" w:color="auto" w:fill="FFFFFF"/>
        </w:rPr>
        <w:t>Tropical Medicine &amp; International Health</w:t>
      </w:r>
      <w:r w:rsidRPr="00C63EDF">
        <w:rPr>
          <w:rFonts w:cs="Times New Roman"/>
          <w:color w:val="222222"/>
          <w:sz w:val="24"/>
          <w:szCs w:val="24"/>
          <w:shd w:val="clear" w:color="auto" w:fill="FFFFFF"/>
        </w:rPr>
        <w:t>, </w:t>
      </w:r>
      <w:r w:rsidRPr="00C63EDF">
        <w:rPr>
          <w:rFonts w:cs="Times New Roman"/>
          <w:i/>
          <w:iCs/>
          <w:color w:val="222222"/>
          <w:sz w:val="24"/>
          <w:szCs w:val="24"/>
          <w:shd w:val="clear" w:color="auto" w:fill="FFFFFF"/>
        </w:rPr>
        <w:t>25</w:t>
      </w:r>
      <w:r w:rsidRPr="00C63EDF">
        <w:rPr>
          <w:rFonts w:cs="Times New Roman"/>
          <w:color w:val="222222"/>
          <w:sz w:val="24"/>
          <w:szCs w:val="24"/>
          <w:shd w:val="clear" w:color="auto" w:fill="FFFFFF"/>
        </w:rPr>
        <w:t>(3), 291-300.</w:t>
      </w:r>
    </w:p>
    <w:p w:rsidR="00C63EDF" w:rsidRPr="00C63EDF" w:rsidP="00C63EDF" w14:paraId="0CD77202" w14:textId="77777777">
      <w:pPr>
        <w:spacing w:line="480" w:lineRule="auto"/>
        <w:ind w:left="720" w:hanging="720"/>
        <w:jc w:val="both"/>
        <w:rPr>
          <w:rFonts w:cs="Times New Roman"/>
          <w:color w:val="222222"/>
          <w:sz w:val="24"/>
          <w:szCs w:val="24"/>
          <w:shd w:val="clear" w:color="auto" w:fill="FFFFFF"/>
        </w:rPr>
      </w:pPr>
      <w:r w:rsidRPr="00C63EDF">
        <w:rPr>
          <w:rFonts w:cs="Times New Roman"/>
          <w:color w:val="222222"/>
          <w:sz w:val="24"/>
          <w:szCs w:val="24"/>
          <w:shd w:val="clear" w:color="auto" w:fill="FFFFFF"/>
        </w:rPr>
        <w:t>Libertucci</w:t>
      </w:r>
      <w:r w:rsidRPr="00C63EDF">
        <w:rPr>
          <w:rFonts w:cs="Times New Roman"/>
          <w:color w:val="222222"/>
          <w:sz w:val="24"/>
          <w:szCs w:val="24"/>
          <w:shd w:val="clear" w:color="auto" w:fill="FFFFFF"/>
        </w:rPr>
        <w:t>, J., &amp; Young, V. B. (2019). The role of the microbiota in infectious diseases. </w:t>
      </w:r>
      <w:r w:rsidRPr="00C63EDF">
        <w:rPr>
          <w:rFonts w:cs="Times New Roman"/>
          <w:i/>
          <w:iCs/>
          <w:color w:val="222222"/>
          <w:sz w:val="24"/>
          <w:szCs w:val="24"/>
          <w:shd w:val="clear" w:color="auto" w:fill="FFFFFF"/>
        </w:rPr>
        <w:t>Nature microbiology</w:t>
      </w:r>
      <w:r w:rsidRPr="00C63EDF">
        <w:rPr>
          <w:rFonts w:cs="Times New Roman"/>
          <w:color w:val="222222"/>
          <w:sz w:val="24"/>
          <w:szCs w:val="24"/>
          <w:shd w:val="clear" w:color="auto" w:fill="FFFFFF"/>
        </w:rPr>
        <w:t>, </w:t>
      </w:r>
      <w:r w:rsidRPr="00C63EDF">
        <w:rPr>
          <w:rFonts w:cs="Times New Roman"/>
          <w:i/>
          <w:iCs/>
          <w:color w:val="222222"/>
          <w:sz w:val="24"/>
          <w:szCs w:val="24"/>
          <w:shd w:val="clear" w:color="auto" w:fill="FFFFFF"/>
        </w:rPr>
        <w:t>4</w:t>
      </w:r>
      <w:r w:rsidRPr="00C63EDF">
        <w:rPr>
          <w:rFonts w:cs="Times New Roman"/>
          <w:color w:val="222222"/>
          <w:sz w:val="24"/>
          <w:szCs w:val="24"/>
          <w:shd w:val="clear" w:color="auto" w:fill="FFFFFF"/>
        </w:rPr>
        <w:t>(1), 35-45.</w:t>
      </w:r>
    </w:p>
    <w:p w:rsidR="00C63EDF" w:rsidRPr="00C63EDF" w:rsidP="00C63EDF" w14:paraId="403D782D" w14:textId="77777777">
      <w:pPr>
        <w:spacing w:line="480" w:lineRule="auto"/>
        <w:ind w:left="720" w:hanging="720"/>
        <w:jc w:val="both"/>
        <w:rPr>
          <w:rFonts w:cs="Times New Roman"/>
          <w:color w:val="222222"/>
          <w:sz w:val="24"/>
          <w:szCs w:val="24"/>
          <w:shd w:val="clear" w:color="auto" w:fill="FFFFFF"/>
        </w:rPr>
      </w:pPr>
      <w:r w:rsidRPr="00C63EDF">
        <w:rPr>
          <w:rFonts w:cs="Times New Roman"/>
          <w:color w:val="222222"/>
          <w:sz w:val="24"/>
          <w:szCs w:val="24"/>
          <w:shd w:val="clear" w:color="auto" w:fill="FFFFFF"/>
        </w:rPr>
        <w:t xml:space="preserve">Rowland, I., Gibson, G., </w:t>
      </w:r>
      <w:r w:rsidRPr="00C63EDF">
        <w:rPr>
          <w:rFonts w:cs="Times New Roman"/>
          <w:color w:val="222222"/>
          <w:sz w:val="24"/>
          <w:szCs w:val="24"/>
          <w:shd w:val="clear" w:color="auto" w:fill="FFFFFF"/>
        </w:rPr>
        <w:t>Heinken</w:t>
      </w:r>
      <w:r w:rsidRPr="00C63EDF">
        <w:rPr>
          <w:rFonts w:cs="Times New Roman"/>
          <w:color w:val="222222"/>
          <w:sz w:val="24"/>
          <w:szCs w:val="24"/>
          <w:shd w:val="clear" w:color="auto" w:fill="FFFFFF"/>
        </w:rPr>
        <w:t>, A., Scott, K., Swann, J., Thiele, I., &amp; Tuohy, K. (2018). Gut microbiota functions: metabolism of nutrients and other food components. </w:t>
      </w:r>
      <w:r w:rsidRPr="00C63EDF">
        <w:rPr>
          <w:rFonts w:cs="Times New Roman"/>
          <w:i/>
          <w:iCs/>
          <w:color w:val="222222"/>
          <w:sz w:val="24"/>
          <w:szCs w:val="24"/>
          <w:shd w:val="clear" w:color="auto" w:fill="FFFFFF"/>
        </w:rPr>
        <w:t>European journal of nutrition</w:t>
      </w:r>
      <w:r w:rsidRPr="00C63EDF">
        <w:rPr>
          <w:rFonts w:cs="Times New Roman"/>
          <w:color w:val="222222"/>
          <w:sz w:val="24"/>
          <w:szCs w:val="24"/>
          <w:shd w:val="clear" w:color="auto" w:fill="FFFFFF"/>
        </w:rPr>
        <w:t>, </w:t>
      </w:r>
      <w:r w:rsidRPr="00C63EDF">
        <w:rPr>
          <w:rFonts w:cs="Times New Roman"/>
          <w:i/>
          <w:iCs/>
          <w:color w:val="222222"/>
          <w:sz w:val="24"/>
          <w:szCs w:val="24"/>
          <w:shd w:val="clear" w:color="auto" w:fill="FFFFFF"/>
        </w:rPr>
        <w:t>57</w:t>
      </w:r>
      <w:r w:rsidRPr="00C63EDF">
        <w:rPr>
          <w:rFonts w:cs="Times New Roman"/>
          <w:color w:val="222222"/>
          <w:sz w:val="24"/>
          <w:szCs w:val="24"/>
          <w:shd w:val="clear" w:color="auto" w:fill="FFFFFF"/>
        </w:rPr>
        <w:t>(1), 1-24.</w:t>
      </w:r>
    </w:p>
    <w:sectPr w:rsidSect="00CD1A9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61715009"/>
      <w:docPartObj>
        <w:docPartGallery w:val="Page Numbers (Top of Page)"/>
        <w:docPartUnique/>
      </w:docPartObj>
    </w:sdtPr>
    <w:sdtEndPr>
      <w:rPr>
        <w:noProof/>
      </w:rPr>
    </w:sdtEndPr>
    <w:sdtContent>
      <w:p w:rsidR="00CD1A94" w14:paraId="2F62B00C" w14:textId="7AB0C8A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D1A94" w14:paraId="28DC73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1A94" w14:paraId="27CF61D2" w14:textId="3373F5A6">
    <w:pPr>
      <w:pStyle w:val="Header"/>
    </w:pPr>
    <w:r>
      <w:t>Running Head: microbial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6B7"/>
    <w:rsid w:val="000766B7"/>
    <w:rsid w:val="000F6C22"/>
    <w:rsid w:val="0011194F"/>
    <w:rsid w:val="00191BA0"/>
    <w:rsid w:val="00196468"/>
    <w:rsid w:val="002542CD"/>
    <w:rsid w:val="002A2264"/>
    <w:rsid w:val="002A4A94"/>
    <w:rsid w:val="003E7E26"/>
    <w:rsid w:val="004A6FB7"/>
    <w:rsid w:val="00533D80"/>
    <w:rsid w:val="006803D4"/>
    <w:rsid w:val="00757407"/>
    <w:rsid w:val="008757BB"/>
    <w:rsid w:val="008E3B2B"/>
    <w:rsid w:val="00A01304"/>
    <w:rsid w:val="00A07649"/>
    <w:rsid w:val="00BC0DCB"/>
    <w:rsid w:val="00C63EDF"/>
    <w:rsid w:val="00CD1A94"/>
    <w:rsid w:val="00DB6195"/>
    <w:rsid w:val="00DC3361"/>
    <w:rsid w:val="00E766F1"/>
    <w:rsid w:val="00E8619C"/>
    <w:rsid w:val="00ED5CEC"/>
    <w:rsid w:val="00F400E9"/>
    <w:rsid w:val="00F866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4011A31-EBAB-49FD-8750-442DC361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1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A94"/>
  </w:style>
  <w:style w:type="paragraph" w:styleId="Footer">
    <w:name w:val="footer"/>
    <w:basedOn w:val="Normal"/>
    <w:link w:val="FooterChar"/>
    <w:uiPriority w:val="99"/>
    <w:unhideWhenUsed/>
    <w:rsid w:val="00CD1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5</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2020-08-11T10:40:00Z</dcterms:created>
  <dcterms:modified xsi:type="dcterms:W3CDTF">2020-08-11T13:59:00Z</dcterms:modified>
</cp:coreProperties>
</file>